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Lato" w:cs="Lato" w:eastAsia="Lato" w:hAnsi="Lato"/>
        </w:rPr>
      </w:pPr>
      <w:bookmarkStart w:colFirst="0" w:colLast="0" w:name="_42wurqcpe8bp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Diferencia de permisos entre archivos y directorios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rtl w:val="0"/>
              </w:rPr>
              <w:t xml:space="preserve">Permiso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rtl w:val="0"/>
              </w:rPr>
              <w:t xml:space="preserve">Archivo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rtl w:val="0"/>
              </w:rPr>
              <w:t xml:space="preserve">Directorio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Permite abrir y leer un archivo.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Permite listar el contenido de un directorio solo si el permiso de ejecución (x) también está activo.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Permite escribir en un archivo; sin embargo, este atributo no permite cambiar el nombre de los archivos o eliminarlos. La capacidad de eliminar o cambiar el nombre de los archivos está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determinado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por los atributos del directorio.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Permite que los archivos dentro de un directorio sean creados, eliminados y renombrados si también se establece el atributo de ejecución.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Permite que un archivo sea tratado como un programa y pueda ser ejecutado.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Permite entrar al directorio.</w:t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